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67" w:rsidRPr="00A54300" w:rsidRDefault="00E32E0E" w:rsidP="00FF0B67">
      <w:pPr>
        <w:pStyle w:val="berschrift1"/>
        <w:rPr>
          <w:rFonts w:ascii="Calibri" w:hAnsi="Calibri" w:cs="Calibri"/>
          <w:sz w:val="22"/>
          <w:szCs w:val="22"/>
        </w:rPr>
      </w:pPr>
      <w:r w:rsidRPr="00A54300">
        <w:rPr>
          <w:rFonts w:ascii="Arial" w:hAnsi="Arial" w:cs="Arial"/>
          <w:b w:val="0"/>
          <w:noProof/>
          <w:sz w:val="22"/>
          <w:szCs w:val="22"/>
          <w:lang w:eastAsia="de-DE"/>
        </w:rPr>
        <w:drawing>
          <wp:inline distT="0" distB="0" distL="0" distR="0" wp14:anchorId="0AFE7E0B" wp14:editId="6036344D">
            <wp:extent cx="1630680" cy="236855"/>
            <wp:effectExtent l="0" t="0" r="7620" b="0"/>
            <wp:docPr id="2" name="Grafik 2" descr="DIA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67" w:rsidRPr="00A54300" w:rsidRDefault="00FF0B67" w:rsidP="00FF0B67">
      <w:pPr>
        <w:spacing w:after="0"/>
        <w:rPr>
          <w:rFonts w:ascii="Times New Roman" w:hAnsi="Times New Roman" w:cs="Times New Roman"/>
          <w:b/>
        </w:rPr>
      </w:pPr>
    </w:p>
    <w:p w:rsidR="00E32E0E" w:rsidRPr="00A54300" w:rsidRDefault="00E32E0E" w:rsidP="00FF0B67">
      <w:pPr>
        <w:spacing w:after="0"/>
        <w:rPr>
          <w:rFonts w:ascii="Times New Roman" w:hAnsi="Times New Roman" w:cs="Times New Roman"/>
          <w:b/>
        </w:rPr>
      </w:pPr>
    </w:p>
    <w:p w:rsidR="00FF0B67" w:rsidRPr="00A54300" w:rsidRDefault="00FF0B67" w:rsidP="00B47806">
      <w:pPr>
        <w:spacing w:after="0"/>
        <w:jc w:val="center"/>
        <w:rPr>
          <w:rFonts w:ascii="Times New Roman" w:hAnsi="Times New Roman" w:cs="Times New Roman"/>
          <w:b/>
        </w:rPr>
      </w:pPr>
    </w:p>
    <w:p w:rsidR="00BA476B" w:rsidRPr="00A54300" w:rsidRDefault="00745D35" w:rsidP="00B47806">
      <w:pPr>
        <w:spacing w:after="0"/>
        <w:jc w:val="center"/>
        <w:rPr>
          <w:rFonts w:cs="Times New Roman"/>
          <w:b/>
        </w:rPr>
      </w:pPr>
      <w:r w:rsidRPr="00A54300">
        <w:rPr>
          <w:rFonts w:cs="Times New Roman"/>
          <w:b/>
        </w:rPr>
        <w:t xml:space="preserve">Ausschreibung für den DIA-Zukunftspreis </w:t>
      </w:r>
      <w:r w:rsidR="0085219E">
        <w:rPr>
          <w:rFonts w:cs="Times New Roman"/>
          <w:b/>
        </w:rPr>
        <w:t>2018</w:t>
      </w:r>
    </w:p>
    <w:p w:rsidR="00745D35" w:rsidRPr="00A54300" w:rsidRDefault="00745D35" w:rsidP="00745D35">
      <w:pPr>
        <w:spacing w:after="0"/>
        <w:rPr>
          <w:rFonts w:cs="Times New Roman"/>
        </w:rPr>
      </w:pPr>
    </w:p>
    <w:p w:rsidR="00745D35" w:rsidRPr="00A54300" w:rsidRDefault="00745D35" w:rsidP="00745D35">
      <w:pPr>
        <w:spacing w:after="0"/>
        <w:rPr>
          <w:rFonts w:cs="Times New Roman"/>
        </w:rPr>
      </w:pPr>
    </w:p>
    <w:p w:rsidR="00745D35" w:rsidRPr="00A54300" w:rsidRDefault="00FF0B67" w:rsidP="00745D35">
      <w:pPr>
        <w:spacing w:after="0"/>
        <w:jc w:val="both"/>
        <w:rPr>
          <w:rFonts w:eastAsia="Times New Roman" w:cs="Times New Roman"/>
          <w:lang w:eastAsia="de-DE"/>
        </w:rPr>
      </w:pPr>
      <w:r w:rsidRPr="00A54300">
        <w:rPr>
          <w:rFonts w:cs="Times New Roman"/>
          <w:b/>
        </w:rPr>
        <w:t>Zielstellung</w:t>
      </w:r>
      <w:r w:rsidR="00745D35" w:rsidRPr="00A54300">
        <w:rPr>
          <w:rFonts w:cs="Times New Roman"/>
          <w:b/>
        </w:rPr>
        <w:t>:</w:t>
      </w:r>
      <w:r w:rsidR="00745D35" w:rsidRPr="00A54300">
        <w:rPr>
          <w:rFonts w:cs="Times New Roman"/>
        </w:rPr>
        <w:t xml:space="preserve"> </w:t>
      </w:r>
      <w:r w:rsidR="00745D35" w:rsidRPr="00A54300">
        <w:rPr>
          <w:rFonts w:eastAsia="Times New Roman" w:cs="Times New Roman"/>
          <w:lang w:eastAsia="de-DE"/>
        </w:rPr>
        <w:t>Mit dem DIA-Zukunftspreis werden seit dem Jahr 2000 Forschungsergebnisse, Analysen und Konzepte zur Altersvorsorge gewürdigt. Das Deutsche Institut für Alters</w:t>
      </w:r>
      <w:r w:rsidR="00745D35" w:rsidRPr="00A54300">
        <w:rPr>
          <w:rFonts w:eastAsia="Times New Roman" w:cs="Times New Roman"/>
          <w:lang w:eastAsia="de-DE"/>
        </w:rPr>
        <w:softHyphen/>
        <w:t>vor</w:t>
      </w:r>
      <w:r w:rsidR="00745D35" w:rsidRPr="00A54300">
        <w:rPr>
          <w:rFonts w:eastAsia="Times New Roman" w:cs="Times New Roman"/>
          <w:lang w:eastAsia="de-DE"/>
        </w:rPr>
        <w:softHyphen/>
        <w:t>sorge</w:t>
      </w:r>
      <w:r w:rsidR="00D004EC" w:rsidRPr="00A54300">
        <w:rPr>
          <w:rFonts w:eastAsia="Times New Roman" w:cs="Times New Roman"/>
          <w:lang w:eastAsia="de-DE"/>
        </w:rPr>
        <w:t xml:space="preserve"> (DIA) </w:t>
      </w:r>
      <w:r w:rsidR="00745D35" w:rsidRPr="00A54300">
        <w:rPr>
          <w:rFonts w:eastAsia="Times New Roman" w:cs="Times New Roman"/>
          <w:lang w:eastAsia="de-DE"/>
        </w:rPr>
        <w:t>fördert damit Untersuchungen zur langfristigen Absicherung im Alter, zur demo</w:t>
      </w:r>
      <w:r w:rsidR="00745D35" w:rsidRPr="00A54300">
        <w:rPr>
          <w:rFonts w:eastAsia="Times New Roman" w:cs="Times New Roman"/>
          <w:lang w:eastAsia="de-DE"/>
        </w:rPr>
        <w:softHyphen/>
        <w:t xml:space="preserve">grafischen Entwicklung und deren Auswirkung auf die finanzielle Lage in der letzten </w:t>
      </w:r>
      <w:proofErr w:type="spellStart"/>
      <w:r w:rsidR="00745D35" w:rsidRPr="00A54300">
        <w:rPr>
          <w:rFonts w:eastAsia="Times New Roman" w:cs="Times New Roman"/>
          <w:lang w:eastAsia="de-DE"/>
        </w:rPr>
        <w:t>Lebens</w:t>
      </w:r>
      <w:r w:rsidR="00745D35" w:rsidRPr="00A54300">
        <w:rPr>
          <w:rFonts w:eastAsia="Times New Roman" w:cs="Times New Roman"/>
          <w:lang w:eastAsia="de-DE"/>
        </w:rPr>
        <w:softHyphen/>
        <w:t>phase</w:t>
      </w:r>
      <w:proofErr w:type="spellEnd"/>
      <w:r w:rsidR="00745D35" w:rsidRPr="00A54300">
        <w:rPr>
          <w:rFonts w:eastAsia="Times New Roman" w:cs="Times New Roman"/>
          <w:lang w:eastAsia="de-DE"/>
        </w:rPr>
        <w:t>, zur Verhinderung von Alter</w:t>
      </w:r>
      <w:r w:rsidR="00745D35" w:rsidRPr="00A54300">
        <w:rPr>
          <w:rFonts w:eastAsia="Times New Roman" w:cs="Times New Roman"/>
          <w:lang w:eastAsia="de-DE"/>
        </w:rPr>
        <w:t>s</w:t>
      </w:r>
      <w:r w:rsidR="00745D35" w:rsidRPr="00A54300">
        <w:rPr>
          <w:rFonts w:eastAsia="Times New Roman" w:cs="Times New Roman"/>
          <w:lang w:eastAsia="de-DE"/>
        </w:rPr>
        <w:t xml:space="preserve">armut sowie zu psychologischen </w:t>
      </w:r>
      <w:r w:rsidR="00D004EC" w:rsidRPr="00A54300">
        <w:rPr>
          <w:rFonts w:eastAsia="Times New Roman" w:cs="Times New Roman"/>
          <w:lang w:eastAsia="de-DE"/>
        </w:rPr>
        <w:t xml:space="preserve">und sozialen </w:t>
      </w:r>
      <w:r w:rsidR="00745D35" w:rsidRPr="00A54300">
        <w:rPr>
          <w:rFonts w:eastAsia="Times New Roman" w:cs="Times New Roman"/>
          <w:lang w:eastAsia="de-DE"/>
        </w:rPr>
        <w:t>Aspekten der Altersver</w:t>
      </w:r>
      <w:r w:rsidR="00745D35" w:rsidRPr="00A54300">
        <w:rPr>
          <w:rFonts w:eastAsia="Times New Roman" w:cs="Times New Roman"/>
          <w:lang w:eastAsia="de-DE"/>
        </w:rPr>
        <w:softHyphen/>
        <w:t>sor</w:t>
      </w:r>
      <w:r w:rsidR="00745D35" w:rsidRPr="00A54300">
        <w:rPr>
          <w:rFonts w:eastAsia="Times New Roman" w:cs="Times New Roman"/>
          <w:lang w:eastAsia="de-DE"/>
        </w:rPr>
        <w:softHyphen/>
        <w:t>gung. Die Ergebnisse dieser Untersuchungen sollen die Diskussion über die Weiterent</w:t>
      </w:r>
      <w:r w:rsidRPr="00A54300">
        <w:rPr>
          <w:rFonts w:eastAsia="Times New Roman" w:cs="Times New Roman"/>
          <w:lang w:eastAsia="de-DE"/>
        </w:rPr>
        <w:softHyphen/>
      </w:r>
      <w:r w:rsidR="00745D35" w:rsidRPr="00A54300">
        <w:rPr>
          <w:rFonts w:eastAsia="Times New Roman" w:cs="Times New Roman"/>
          <w:lang w:eastAsia="de-DE"/>
        </w:rPr>
        <w:t>wick</w:t>
      </w:r>
      <w:r w:rsidRPr="00A54300">
        <w:rPr>
          <w:rFonts w:eastAsia="Times New Roman" w:cs="Times New Roman"/>
          <w:lang w:eastAsia="de-DE"/>
        </w:rPr>
        <w:softHyphen/>
      </w:r>
      <w:r w:rsidR="00745D35" w:rsidRPr="00A54300">
        <w:rPr>
          <w:rFonts w:eastAsia="Times New Roman" w:cs="Times New Roman"/>
          <w:lang w:eastAsia="de-DE"/>
        </w:rPr>
        <w:t>lung der Alterssicherungssysteme in Deutschland unterstützen und bei der Lösungssuche helfen sowie Argumente für die politische Wi</w:t>
      </w:r>
      <w:r w:rsidR="00745D35" w:rsidRPr="00A54300">
        <w:rPr>
          <w:rFonts w:eastAsia="Times New Roman" w:cs="Times New Roman"/>
          <w:lang w:eastAsia="de-DE"/>
        </w:rPr>
        <w:t>l</w:t>
      </w:r>
      <w:r w:rsidR="00745D35" w:rsidRPr="00A54300">
        <w:rPr>
          <w:rFonts w:eastAsia="Times New Roman" w:cs="Times New Roman"/>
          <w:lang w:eastAsia="de-DE"/>
        </w:rPr>
        <w:t>lensbildung liefern. Das DIA möchte mit seinem Zukunftspreis Forschungsergebnisse in den Fokus des öffentlichen Interesses rücken, die zu einer größeren Transparenz, Verständlichkeit und Verbreitung der selbstverantworteten Altersvorsorge führen.</w:t>
      </w:r>
    </w:p>
    <w:p w:rsidR="00745D35" w:rsidRPr="00A54300" w:rsidRDefault="00745D35" w:rsidP="00745D35">
      <w:pPr>
        <w:spacing w:after="0"/>
        <w:jc w:val="both"/>
        <w:rPr>
          <w:rFonts w:eastAsia="Times New Roman" w:cs="Times New Roman"/>
          <w:lang w:eastAsia="de-DE"/>
        </w:rPr>
      </w:pPr>
    </w:p>
    <w:p w:rsidR="00FF0B67" w:rsidRPr="00A54300" w:rsidRDefault="00FF0B67" w:rsidP="00745D35">
      <w:pPr>
        <w:spacing w:after="0"/>
        <w:jc w:val="both"/>
        <w:rPr>
          <w:rFonts w:eastAsia="Times New Roman" w:cs="Times New Roman"/>
          <w:lang w:eastAsia="de-DE"/>
        </w:rPr>
      </w:pPr>
    </w:p>
    <w:p w:rsidR="00745D35" w:rsidRPr="00A54300" w:rsidRDefault="00745D35" w:rsidP="00745D35">
      <w:pPr>
        <w:spacing w:after="0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b/>
          <w:lang w:eastAsia="de-DE"/>
        </w:rPr>
        <w:t>Gegenstand:</w:t>
      </w:r>
      <w:r w:rsidRPr="00A54300">
        <w:rPr>
          <w:rFonts w:eastAsia="Times New Roman" w:cs="Times New Roman"/>
          <w:lang w:eastAsia="de-DE"/>
        </w:rPr>
        <w:t xml:space="preserve"> Die wissenschaftlichen Arbeiten können sich mit allen drei Säulen der Alters</w:t>
      </w:r>
      <w:r w:rsidRPr="00A54300">
        <w:rPr>
          <w:rFonts w:eastAsia="Times New Roman" w:cs="Times New Roman"/>
          <w:lang w:eastAsia="de-DE"/>
        </w:rPr>
        <w:softHyphen/>
        <w:t>ver</w:t>
      </w:r>
      <w:r w:rsidRPr="00A54300">
        <w:rPr>
          <w:rFonts w:eastAsia="Times New Roman" w:cs="Times New Roman"/>
          <w:lang w:eastAsia="de-DE"/>
        </w:rPr>
        <w:softHyphen/>
        <w:t xml:space="preserve">sorgung beschäftigen: mit der </w:t>
      </w:r>
      <w:r w:rsidR="00E32E0E" w:rsidRPr="00A54300">
        <w:rPr>
          <w:rFonts w:eastAsia="Times New Roman" w:cs="Times New Roman"/>
          <w:lang w:eastAsia="de-DE"/>
        </w:rPr>
        <w:t xml:space="preserve">gesetzlichen Rentenversicherung, </w:t>
      </w:r>
      <w:r w:rsidRPr="00A54300">
        <w:rPr>
          <w:rFonts w:eastAsia="Times New Roman" w:cs="Times New Roman"/>
          <w:lang w:eastAsia="de-DE"/>
        </w:rPr>
        <w:t>berufsständischen Versorgungseinrichtungen</w:t>
      </w:r>
      <w:r w:rsidR="00E32E0E" w:rsidRPr="00A54300">
        <w:rPr>
          <w:rFonts w:eastAsia="Times New Roman" w:cs="Times New Roman"/>
          <w:lang w:eastAsia="de-DE"/>
        </w:rPr>
        <w:t xml:space="preserve"> und der Beamtenversorgung</w:t>
      </w:r>
      <w:r w:rsidRPr="00A54300">
        <w:rPr>
          <w:rFonts w:eastAsia="Times New Roman" w:cs="Times New Roman"/>
          <w:lang w:eastAsia="de-DE"/>
        </w:rPr>
        <w:t xml:space="preserve"> sowie </w:t>
      </w:r>
      <w:r w:rsidR="00B02FA0" w:rsidRPr="00A54300">
        <w:rPr>
          <w:rFonts w:eastAsia="Times New Roman" w:cs="Times New Roman"/>
          <w:lang w:eastAsia="de-DE"/>
        </w:rPr>
        <w:t xml:space="preserve">mit </w:t>
      </w:r>
      <w:r w:rsidRPr="00A54300">
        <w:rPr>
          <w:rFonts w:eastAsia="Times New Roman" w:cs="Times New Roman"/>
          <w:lang w:eastAsia="de-DE"/>
        </w:rPr>
        <w:t xml:space="preserve">der betrieblichen und privaten Altersversorgung. </w:t>
      </w:r>
      <w:r w:rsidR="00F73FA6" w:rsidRPr="00A54300">
        <w:rPr>
          <w:rFonts w:eastAsia="Times New Roman" w:cs="Times New Roman"/>
          <w:lang w:eastAsia="de-DE"/>
        </w:rPr>
        <w:t>Die</w:t>
      </w:r>
      <w:r w:rsidRPr="00A54300">
        <w:rPr>
          <w:rFonts w:eastAsia="Times New Roman" w:cs="Times New Roman"/>
          <w:lang w:eastAsia="de-DE"/>
        </w:rPr>
        <w:t xml:space="preserve"> Spanne der möglichen Themen </w:t>
      </w:r>
      <w:r w:rsidR="00F73FA6" w:rsidRPr="00A54300">
        <w:rPr>
          <w:rFonts w:eastAsia="Times New Roman" w:cs="Times New Roman"/>
          <w:lang w:eastAsia="de-DE"/>
        </w:rPr>
        <w:t xml:space="preserve">reicht </w:t>
      </w:r>
      <w:r w:rsidRPr="00A54300">
        <w:rPr>
          <w:rFonts w:eastAsia="Times New Roman" w:cs="Times New Roman"/>
          <w:lang w:eastAsia="de-DE"/>
        </w:rPr>
        <w:t xml:space="preserve">von der Finanzierung der verschiedenen </w:t>
      </w:r>
      <w:proofErr w:type="spellStart"/>
      <w:r w:rsidRPr="00A54300">
        <w:rPr>
          <w:rFonts w:eastAsia="Times New Roman" w:cs="Times New Roman"/>
          <w:lang w:eastAsia="de-DE"/>
        </w:rPr>
        <w:t>Versorgungs</w:t>
      </w:r>
      <w:r w:rsidR="00F73FA6" w:rsidRPr="00A54300">
        <w:rPr>
          <w:rFonts w:eastAsia="Times New Roman" w:cs="Times New Roman"/>
          <w:lang w:eastAsia="de-DE"/>
        </w:rPr>
        <w:softHyphen/>
      </w:r>
      <w:r w:rsidR="00D004EC" w:rsidRPr="00A54300">
        <w:rPr>
          <w:rFonts w:eastAsia="Times New Roman" w:cs="Times New Roman"/>
          <w:lang w:eastAsia="de-DE"/>
        </w:rPr>
        <w:t>systeme</w:t>
      </w:r>
      <w:proofErr w:type="spellEnd"/>
      <w:r w:rsidR="00D004EC" w:rsidRPr="00A54300">
        <w:rPr>
          <w:rFonts w:eastAsia="Times New Roman" w:cs="Times New Roman"/>
          <w:lang w:eastAsia="de-DE"/>
        </w:rPr>
        <w:t xml:space="preserve"> </w:t>
      </w:r>
      <w:r w:rsidRPr="00A54300">
        <w:rPr>
          <w:rFonts w:eastAsia="Times New Roman" w:cs="Times New Roman"/>
          <w:lang w:eastAsia="de-DE"/>
        </w:rPr>
        <w:t>sowie der notwendigen Kapitalbildung und Kapitalallokation über die Chancen und Risiken der privaten Altersvorsorge und Vermögensbildung bis hin zu neuen Konzepten und Modellen der Alterssich</w:t>
      </w:r>
      <w:r w:rsidRPr="00A54300">
        <w:rPr>
          <w:rFonts w:eastAsia="Times New Roman" w:cs="Times New Roman"/>
          <w:lang w:eastAsia="de-DE"/>
        </w:rPr>
        <w:t>e</w:t>
      </w:r>
      <w:r w:rsidRPr="00A54300">
        <w:rPr>
          <w:rFonts w:eastAsia="Times New Roman" w:cs="Times New Roman"/>
          <w:lang w:eastAsia="de-DE"/>
        </w:rPr>
        <w:t>rung.</w:t>
      </w:r>
      <w:r w:rsidR="00F73FA6" w:rsidRPr="00A54300">
        <w:rPr>
          <w:rFonts w:eastAsia="Times New Roman" w:cs="Times New Roman"/>
          <w:lang w:eastAsia="de-DE"/>
        </w:rPr>
        <w:t xml:space="preserve"> Weitere Themen </w:t>
      </w:r>
      <w:r w:rsidR="00123D15" w:rsidRPr="00A54300">
        <w:rPr>
          <w:rFonts w:eastAsia="Times New Roman" w:cs="Times New Roman"/>
          <w:lang w:eastAsia="de-DE"/>
        </w:rPr>
        <w:t>der eingereichten Arbeiten könn</w:t>
      </w:r>
      <w:r w:rsidR="00F73FA6" w:rsidRPr="00A54300">
        <w:rPr>
          <w:rFonts w:eastAsia="Times New Roman" w:cs="Times New Roman"/>
          <w:lang w:eastAsia="de-DE"/>
        </w:rPr>
        <w:t>en sein: Auseinandersetzung</w:t>
      </w:r>
      <w:r w:rsidR="00123D15" w:rsidRPr="00A54300">
        <w:rPr>
          <w:rFonts w:eastAsia="Times New Roman" w:cs="Times New Roman"/>
          <w:lang w:eastAsia="de-DE"/>
        </w:rPr>
        <w:t>en</w:t>
      </w:r>
      <w:r w:rsidR="00F73FA6" w:rsidRPr="00A54300">
        <w:rPr>
          <w:rFonts w:eastAsia="Times New Roman" w:cs="Times New Roman"/>
          <w:lang w:eastAsia="de-DE"/>
        </w:rPr>
        <w:t xml:space="preserve"> mit der Wi</w:t>
      </w:r>
      <w:r w:rsidR="00F73FA6" w:rsidRPr="00A54300">
        <w:rPr>
          <w:rFonts w:eastAsia="Times New Roman" w:cs="Times New Roman"/>
          <w:lang w:eastAsia="de-DE"/>
        </w:rPr>
        <w:t>r</w:t>
      </w:r>
      <w:r w:rsidR="00F73FA6" w:rsidRPr="00A54300">
        <w:rPr>
          <w:rFonts w:eastAsia="Times New Roman" w:cs="Times New Roman"/>
          <w:lang w:eastAsia="de-DE"/>
        </w:rPr>
        <w:t>kung höchstrichterliche</w:t>
      </w:r>
      <w:r w:rsidR="00123D15" w:rsidRPr="00A54300">
        <w:rPr>
          <w:rFonts w:eastAsia="Times New Roman" w:cs="Times New Roman"/>
          <w:lang w:eastAsia="de-DE"/>
        </w:rPr>
        <w:t>r</w:t>
      </w:r>
      <w:r w:rsidR="00F73FA6" w:rsidRPr="00A54300">
        <w:rPr>
          <w:rFonts w:eastAsia="Times New Roman" w:cs="Times New Roman"/>
          <w:lang w:eastAsia="de-DE"/>
        </w:rPr>
        <w:t xml:space="preserve"> Urteile auf die weitere Entwick</w:t>
      </w:r>
      <w:r w:rsidR="00123D15" w:rsidRPr="00A54300">
        <w:rPr>
          <w:rFonts w:eastAsia="Times New Roman" w:cs="Times New Roman"/>
          <w:lang w:eastAsia="de-DE"/>
        </w:rPr>
        <w:softHyphen/>
      </w:r>
      <w:r w:rsidR="00F73FA6" w:rsidRPr="00A54300">
        <w:rPr>
          <w:rFonts w:eastAsia="Times New Roman" w:cs="Times New Roman"/>
          <w:lang w:eastAsia="de-DE"/>
        </w:rPr>
        <w:t>lung der Alterssicherungssysteme, Einschä</w:t>
      </w:r>
      <w:r w:rsidR="00F73FA6" w:rsidRPr="00A54300">
        <w:rPr>
          <w:rFonts w:eastAsia="Times New Roman" w:cs="Times New Roman"/>
          <w:lang w:eastAsia="de-DE"/>
        </w:rPr>
        <w:t>t</w:t>
      </w:r>
      <w:r w:rsidR="00F73FA6" w:rsidRPr="00A54300">
        <w:rPr>
          <w:rFonts w:eastAsia="Times New Roman" w:cs="Times New Roman"/>
          <w:lang w:eastAsia="de-DE"/>
        </w:rPr>
        <w:t>zung</w:t>
      </w:r>
      <w:r w:rsidR="00D004EC" w:rsidRPr="00A54300">
        <w:rPr>
          <w:rFonts w:eastAsia="Times New Roman" w:cs="Times New Roman"/>
          <w:lang w:eastAsia="de-DE"/>
        </w:rPr>
        <w:t>en</w:t>
      </w:r>
      <w:r w:rsidR="00F73FA6" w:rsidRPr="00A54300">
        <w:rPr>
          <w:rFonts w:eastAsia="Times New Roman" w:cs="Times New Roman"/>
          <w:lang w:eastAsia="de-DE"/>
        </w:rPr>
        <w:t xml:space="preserve"> demografische</w:t>
      </w:r>
      <w:r w:rsidR="00D004EC" w:rsidRPr="00A54300">
        <w:rPr>
          <w:rFonts w:eastAsia="Times New Roman" w:cs="Times New Roman"/>
          <w:lang w:eastAsia="de-DE"/>
        </w:rPr>
        <w:t>r</w:t>
      </w:r>
      <w:r w:rsidR="00F73FA6" w:rsidRPr="00A54300">
        <w:rPr>
          <w:rFonts w:eastAsia="Times New Roman" w:cs="Times New Roman"/>
          <w:lang w:eastAsia="de-DE"/>
        </w:rPr>
        <w:t xml:space="preserve"> Trends und der</w:t>
      </w:r>
      <w:r w:rsidR="00123D15" w:rsidRPr="00A54300">
        <w:rPr>
          <w:rFonts w:eastAsia="Times New Roman" w:cs="Times New Roman"/>
          <w:lang w:eastAsia="de-DE"/>
        </w:rPr>
        <w:t>en</w:t>
      </w:r>
      <w:r w:rsidR="00F73FA6" w:rsidRPr="00A54300">
        <w:rPr>
          <w:rFonts w:eastAsia="Times New Roman" w:cs="Times New Roman"/>
          <w:lang w:eastAsia="de-DE"/>
        </w:rPr>
        <w:t xml:space="preserve"> Folgen auf die Alterssicherung in Deutschland und in and</w:t>
      </w:r>
      <w:r w:rsidR="00F73FA6" w:rsidRPr="00A54300">
        <w:rPr>
          <w:rFonts w:eastAsia="Times New Roman" w:cs="Times New Roman"/>
          <w:lang w:eastAsia="de-DE"/>
        </w:rPr>
        <w:t>e</w:t>
      </w:r>
      <w:r w:rsidR="00F73FA6" w:rsidRPr="00A54300">
        <w:rPr>
          <w:rFonts w:eastAsia="Times New Roman" w:cs="Times New Roman"/>
          <w:lang w:eastAsia="de-DE"/>
        </w:rPr>
        <w:t>ren Staaten, Vergleiche von Alterssicherungssystemen in verschiedenen Ländern und Schlussfolg</w:t>
      </w:r>
      <w:r w:rsidR="00F73FA6" w:rsidRPr="00A54300">
        <w:rPr>
          <w:rFonts w:eastAsia="Times New Roman" w:cs="Times New Roman"/>
          <w:lang w:eastAsia="de-DE"/>
        </w:rPr>
        <w:t>e</w:t>
      </w:r>
      <w:r w:rsidR="00F73FA6" w:rsidRPr="00A54300">
        <w:rPr>
          <w:rFonts w:eastAsia="Times New Roman" w:cs="Times New Roman"/>
          <w:lang w:eastAsia="de-DE"/>
        </w:rPr>
        <w:t xml:space="preserve">rungen für die Situation in Deutschland, Faktoren der Verhaltensökonomie in der Altersvorsorge, Analysen von Fallbeispielen und Überprüfung der Übertragbarkeit, Auswertung von Modellversuchen und beispielhaften </w:t>
      </w:r>
      <w:r w:rsidR="004F64BE" w:rsidRPr="00A54300">
        <w:rPr>
          <w:rFonts w:eastAsia="Times New Roman" w:cs="Times New Roman"/>
          <w:lang w:eastAsia="de-DE"/>
        </w:rPr>
        <w:t xml:space="preserve">Lösungen in der Alterssicherung </w:t>
      </w:r>
      <w:r w:rsidR="00F73FA6" w:rsidRPr="00A54300">
        <w:rPr>
          <w:rFonts w:eastAsia="Times New Roman" w:cs="Times New Roman"/>
          <w:lang w:eastAsia="de-DE"/>
        </w:rPr>
        <w:t>(auch</w:t>
      </w:r>
      <w:r w:rsidR="004F64BE" w:rsidRPr="00A54300">
        <w:rPr>
          <w:rFonts w:eastAsia="Times New Roman" w:cs="Times New Roman"/>
          <w:lang w:eastAsia="de-DE"/>
        </w:rPr>
        <w:t xml:space="preserve"> international) sowie Analysen zur Verm</w:t>
      </w:r>
      <w:r w:rsidR="004F64BE" w:rsidRPr="00A54300">
        <w:rPr>
          <w:rFonts w:eastAsia="Times New Roman" w:cs="Times New Roman"/>
          <w:lang w:eastAsia="de-DE"/>
        </w:rPr>
        <w:t>ö</w:t>
      </w:r>
      <w:r w:rsidR="004F64BE" w:rsidRPr="00A54300">
        <w:rPr>
          <w:rFonts w:eastAsia="Times New Roman" w:cs="Times New Roman"/>
          <w:lang w:eastAsia="de-DE"/>
        </w:rPr>
        <w:t>genssituation und Vermögensentwicklung.</w:t>
      </w:r>
    </w:p>
    <w:p w:rsidR="00F73FA6" w:rsidRPr="00A54300" w:rsidRDefault="00F73FA6" w:rsidP="00745D35">
      <w:pPr>
        <w:spacing w:after="0"/>
        <w:jc w:val="both"/>
        <w:rPr>
          <w:rFonts w:eastAsia="Times New Roman" w:cs="Times New Roman"/>
          <w:lang w:eastAsia="de-DE"/>
        </w:rPr>
      </w:pPr>
    </w:p>
    <w:p w:rsidR="00FF0B67" w:rsidRPr="00A54300" w:rsidRDefault="00FF0B67" w:rsidP="00745D35">
      <w:pPr>
        <w:spacing w:after="0"/>
        <w:jc w:val="both"/>
        <w:rPr>
          <w:rFonts w:eastAsia="Times New Roman" w:cs="Times New Roman"/>
          <w:lang w:eastAsia="de-DE"/>
        </w:rPr>
      </w:pPr>
    </w:p>
    <w:p w:rsidR="00E32E0E" w:rsidRPr="00A54300" w:rsidRDefault="004F64BE" w:rsidP="00E32E0E">
      <w:pPr>
        <w:spacing w:after="0" w:line="240" w:lineRule="auto"/>
        <w:jc w:val="both"/>
        <w:outlineLvl w:val="1"/>
        <w:rPr>
          <w:lang w:eastAsia="de-DE"/>
        </w:rPr>
      </w:pPr>
      <w:r w:rsidRPr="00A54300">
        <w:rPr>
          <w:rFonts w:cs="Times New Roman"/>
          <w:b/>
        </w:rPr>
        <w:t>Teilnehmer:</w:t>
      </w:r>
      <w:r w:rsidRPr="00A54300">
        <w:rPr>
          <w:rFonts w:eastAsia="Times New Roman" w:cs="Times New Roman"/>
          <w:bCs/>
          <w:lang w:eastAsia="de-DE"/>
        </w:rPr>
        <w:t xml:space="preserve"> </w:t>
      </w:r>
      <w:r w:rsidR="00745D35" w:rsidRPr="00A54300">
        <w:rPr>
          <w:rFonts w:eastAsia="Times New Roman" w:cs="Times New Roman"/>
          <w:lang w:eastAsia="de-DE"/>
        </w:rPr>
        <w:t>Beteiligen können sich Studenten, Wissenschaftler sowie Mit</w:t>
      </w:r>
      <w:r w:rsidRPr="00A54300">
        <w:rPr>
          <w:rFonts w:eastAsia="Times New Roman" w:cs="Times New Roman"/>
          <w:lang w:eastAsia="de-DE"/>
        </w:rPr>
        <w:softHyphen/>
      </w:r>
      <w:r w:rsidR="00745D35" w:rsidRPr="00A54300">
        <w:rPr>
          <w:rFonts w:eastAsia="Times New Roman" w:cs="Times New Roman"/>
          <w:lang w:eastAsia="de-DE"/>
        </w:rPr>
        <w:t>arbeiter aus Versorgung</w:t>
      </w:r>
      <w:r w:rsidR="00745D35" w:rsidRPr="00A54300">
        <w:rPr>
          <w:rFonts w:eastAsia="Times New Roman" w:cs="Times New Roman"/>
          <w:lang w:eastAsia="de-DE"/>
        </w:rPr>
        <w:t>s</w:t>
      </w:r>
      <w:r w:rsidR="00745D35" w:rsidRPr="00A54300">
        <w:rPr>
          <w:rFonts w:eastAsia="Times New Roman" w:cs="Times New Roman"/>
          <w:lang w:eastAsia="de-DE"/>
        </w:rPr>
        <w:t>einrichtungen und der Finanzbranche insgesamt, die sich berufs</w:t>
      </w:r>
      <w:r w:rsidRPr="00A54300">
        <w:rPr>
          <w:rFonts w:eastAsia="Times New Roman" w:cs="Times New Roman"/>
          <w:lang w:eastAsia="de-DE"/>
        </w:rPr>
        <w:softHyphen/>
      </w:r>
      <w:r w:rsidR="00745D35" w:rsidRPr="00A54300">
        <w:rPr>
          <w:rFonts w:eastAsia="Times New Roman" w:cs="Times New Roman"/>
          <w:lang w:eastAsia="de-DE"/>
        </w:rPr>
        <w:t>begleitend mit Untersuchungen zu Altersvorsorgethemen, zum Beispiel im Rahmen von Abschlussarbeiten oder Dissertationen, beschä</w:t>
      </w:r>
      <w:r w:rsidR="00745D35" w:rsidRPr="00A54300">
        <w:rPr>
          <w:rFonts w:eastAsia="Times New Roman" w:cs="Times New Roman"/>
          <w:lang w:eastAsia="de-DE"/>
        </w:rPr>
        <w:t>f</w:t>
      </w:r>
      <w:r w:rsidR="00745D35" w:rsidRPr="00A54300">
        <w:rPr>
          <w:rFonts w:eastAsia="Times New Roman" w:cs="Times New Roman"/>
          <w:lang w:eastAsia="de-DE"/>
        </w:rPr>
        <w:t>tigen sowie Autoren von Fachbüchern</w:t>
      </w:r>
      <w:r w:rsidR="00D004EC" w:rsidRPr="00A54300">
        <w:rPr>
          <w:rFonts w:eastAsia="Times New Roman" w:cs="Times New Roman"/>
          <w:lang w:eastAsia="de-DE"/>
        </w:rPr>
        <w:t xml:space="preserve"> und längeren Fach</w:t>
      </w:r>
      <w:r w:rsidRPr="00A54300">
        <w:rPr>
          <w:rFonts w:eastAsia="Times New Roman" w:cs="Times New Roman"/>
          <w:lang w:eastAsia="de-DE"/>
        </w:rPr>
        <w:t>beiträgen</w:t>
      </w:r>
      <w:r w:rsidR="00745D35" w:rsidRPr="00A54300">
        <w:rPr>
          <w:rFonts w:eastAsia="Times New Roman" w:cs="Times New Roman"/>
          <w:lang w:eastAsia="de-DE"/>
        </w:rPr>
        <w:t xml:space="preserve">, </w:t>
      </w:r>
      <w:r w:rsidRPr="00A54300">
        <w:rPr>
          <w:rFonts w:eastAsia="Times New Roman" w:cs="Times New Roman"/>
          <w:lang w:eastAsia="de-DE"/>
        </w:rPr>
        <w:t>sofern die Veröffentlichungen zu</w:t>
      </w:r>
      <w:r w:rsidR="00745D35" w:rsidRPr="00A54300">
        <w:rPr>
          <w:rFonts w:eastAsia="Times New Roman" w:cs="Times New Roman"/>
          <w:lang w:eastAsia="de-DE"/>
        </w:rPr>
        <w:t xml:space="preserve"> einem erheblichen Teil auf analytischen Grund</w:t>
      </w:r>
      <w:r w:rsidRPr="00A54300">
        <w:rPr>
          <w:rFonts w:eastAsia="Times New Roman" w:cs="Times New Roman"/>
          <w:lang w:eastAsia="de-DE"/>
        </w:rPr>
        <w:softHyphen/>
      </w:r>
      <w:r w:rsidR="00745D35" w:rsidRPr="00A54300">
        <w:rPr>
          <w:rFonts w:eastAsia="Times New Roman" w:cs="Times New Roman"/>
          <w:lang w:eastAsia="de-DE"/>
        </w:rPr>
        <w:t>lagen beruhen.</w:t>
      </w:r>
      <w:r w:rsidR="00E32E0E" w:rsidRPr="00A54300">
        <w:rPr>
          <w:lang w:eastAsia="de-DE"/>
        </w:rPr>
        <w:t xml:space="preserve"> </w:t>
      </w:r>
      <w:r w:rsidR="00E32E0E" w:rsidRPr="00A54300">
        <w:rPr>
          <w:lang w:eastAsia="de-DE"/>
        </w:rPr>
        <w:br w:type="page"/>
      </w:r>
    </w:p>
    <w:p w:rsidR="00745D35" w:rsidRPr="00A54300" w:rsidRDefault="00745D35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b/>
          <w:lang w:eastAsia="de-DE"/>
        </w:rPr>
        <w:lastRenderedPageBreak/>
        <w:t>Voraussetzung</w:t>
      </w:r>
      <w:r w:rsidR="00123D15" w:rsidRPr="00A54300">
        <w:rPr>
          <w:rFonts w:eastAsia="Times New Roman" w:cs="Times New Roman"/>
          <w:b/>
          <w:lang w:eastAsia="de-DE"/>
        </w:rPr>
        <w:t>en</w:t>
      </w:r>
      <w:r w:rsidR="00850E2B" w:rsidRPr="00A54300">
        <w:rPr>
          <w:rFonts w:eastAsia="Times New Roman" w:cs="Times New Roman"/>
          <w:b/>
          <w:lang w:eastAsia="de-DE"/>
        </w:rPr>
        <w:t>:</w:t>
      </w:r>
      <w:r w:rsidRPr="00A54300">
        <w:rPr>
          <w:rFonts w:eastAsia="Times New Roman" w:cs="Times New Roman"/>
          <w:lang w:eastAsia="de-DE"/>
        </w:rPr>
        <w:t xml:space="preserve"> </w:t>
      </w:r>
      <w:r w:rsidR="00850E2B" w:rsidRPr="00A54300">
        <w:rPr>
          <w:rFonts w:eastAsia="Times New Roman" w:cs="Times New Roman"/>
          <w:lang w:eastAsia="de-DE"/>
        </w:rPr>
        <w:t>Die eingereichten Arbeiten enthalten einen</w:t>
      </w:r>
      <w:r w:rsidRPr="00A54300">
        <w:rPr>
          <w:rFonts w:eastAsia="Times New Roman" w:cs="Times New Roman"/>
          <w:lang w:eastAsia="de-DE"/>
        </w:rPr>
        <w:t xml:space="preserve"> originäre</w:t>
      </w:r>
      <w:r w:rsidR="00850E2B" w:rsidRPr="00A54300">
        <w:rPr>
          <w:rFonts w:eastAsia="Times New Roman" w:cs="Times New Roman"/>
          <w:lang w:eastAsia="de-DE"/>
        </w:rPr>
        <w:t>n</w:t>
      </w:r>
      <w:r w:rsidRPr="00A54300">
        <w:rPr>
          <w:rFonts w:eastAsia="Times New Roman" w:cs="Times New Roman"/>
          <w:lang w:eastAsia="de-DE"/>
        </w:rPr>
        <w:t xml:space="preserve"> eigene</w:t>
      </w:r>
      <w:r w:rsidR="00850E2B" w:rsidRPr="00A54300">
        <w:rPr>
          <w:rFonts w:eastAsia="Times New Roman" w:cs="Times New Roman"/>
          <w:lang w:eastAsia="de-DE"/>
        </w:rPr>
        <w:t>n</w:t>
      </w:r>
      <w:r w:rsidRPr="00A54300">
        <w:rPr>
          <w:rFonts w:eastAsia="Times New Roman" w:cs="Times New Roman"/>
          <w:lang w:eastAsia="de-DE"/>
        </w:rPr>
        <w:t xml:space="preserve"> Beitrag zum Ve</w:t>
      </w:r>
      <w:r w:rsidRPr="00A54300">
        <w:rPr>
          <w:rFonts w:eastAsia="Times New Roman" w:cs="Times New Roman"/>
          <w:lang w:eastAsia="de-DE"/>
        </w:rPr>
        <w:t>r</w:t>
      </w:r>
      <w:r w:rsidRPr="00A54300">
        <w:rPr>
          <w:rFonts w:eastAsia="Times New Roman" w:cs="Times New Roman"/>
          <w:lang w:eastAsia="de-DE"/>
        </w:rPr>
        <w:t>ständnis der Wirkungsweise von Altersvorsorgesystemen oder zu deren Weiterent</w:t>
      </w:r>
      <w:r w:rsidR="00123D15" w:rsidRPr="00A54300">
        <w:rPr>
          <w:rFonts w:eastAsia="Times New Roman" w:cs="Times New Roman"/>
          <w:lang w:eastAsia="de-DE"/>
        </w:rPr>
        <w:softHyphen/>
      </w:r>
      <w:r w:rsidRPr="00A54300">
        <w:rPr>
          <w:rFonts w:eastAsia="Times New Roman" w:cs="Times New Roman"/>
          <w:lang w:eastAsia="de-DE"/>
        </w:rPr>
        <w:t>wick</w:t>
      </w:r>
      <w:r w:rsidR="00850E2B" w:rsidRPr="00A54300">
        <w:rPr>
          <w:rFonts w:eastAsia="Times New Roman" w:cs="Times New Roman"/>
          <w:lang w:eastAsia="de-DE"/>
        </w:rPr>
        <w:softHyphen/>
      </w:r>
      <w:r w:rsidRPr="00A54300">
        <w:rPr>
          <w:rFonts w:eastAsia="Times New Roman" w:cs="Times New Roman"/>
          <w:lang w:eastAsia="de-DE"/>
        </w:rPr>
        <w:t>lung, der in einer angemessenen Weise publiziert oder der Öffentlichkeit anderweitig vor</w:t>
      </w:r>
      <w:r w:rsidR="00850E2B" w:rsidRPr="00A54300">
        <w:rPr>
          <w:rFonts w:eastAsia="Times New Roman" w:cs="Times New Roman"/>
          <w:lang w:eastAsia="de-DE"/>
        </w:rPr>
        <w:softHyphen/>
      </w:r>
      <w:r w:rsidRPr="00A54300">
        <w:rPr>
          <w:rFonts w:eastAsia="Times New Roman" w:cs="Times New Roman"/>
          <w:lang w:eastAsia="de-DE"/>
        </w:rPr>
        <w:t xml:space="preserve">gestellt worden ist, zum Beispiel </w:t>
      </w:r>
      <w:r w:rsidR="00A54300">
        <w:rPr>
          <w:rFonts w:eastAsia="Times New Roman" w:cs="Times New Roman"/>
          <w:lang w:eastAsia="de-DE"/>
        </w:rPr>
        <w:t>mit</w:t>
      </w:r>
      <w:r w:rsidRPr="00A54300">
        <w:rPr>
          <w:rFonts w:eastAsia="Times New Roman" w:cs="Times New Roman"/>
          <w:lang w:eastAsia="de-DE"/>
        </w:rPr>
        <w:t xml:space="preserve"> Vorträgen </w:t>
      </w:r>
      <w:r w:rsidR="00A54300">
        <w:rPr>
          <w:rFonts w:eastAsia="Times New Roman" w:cs="Times New Roman"/>
          <w:lang w:eastAsia="de-DE"/>
        </w:rPr>
        <w:t>auf</w:t>
      </w:r>
      <w:r w:rsidRPr="00A54300">
        <w:rPr>
          <w:rFonts w:eastAsia="Times New Roman" w:cs="Times New Roman"/>
          <w:lang w:eastAsia="de-DE"/>
        </w:rPr>
        <w:t xml:space="preserve"> Kolloquien oder anderen Fachveranstaltungen, oder als Working Paper für öffentliche </w:t>
      </w:r>
      <w:r w:rsidR="00A97C63" w:rsidRPr="00A54300">
        <w:rPr>
          <w:rFonts w:eastAsia="Times New Roman" w:cs="Times New Roman"/>
          <w:lang w:eastAsia="de-DE"/>
        </w:rPr>
        <w:t>Fachd</w:t>
      </w:r>
      <w:r w:rsidRPr="00A54300">
        <w:rPr>
          <w:rFonts w:eastAsia="Times New Roman" w:cs="Times New Roman"/>
          <w:lang w:eastAsia="de-DE"/>
        </w:rPr>
        <w:t>iskussionen zirkulierte. Produktentwicklungen f</w:t>
      </w:r>
      <w:r w:rsidR="00123D15" w:rsidRPr="00A54300">
        <w:rPr>
          <w:rFonts w:eastAsia="Times New Roman" w:cs="Times New Roman"/>
          <w:lang w:eastAsia="de-DE"/>
        </w:rPr>
        <w:t xml:space="preserve">allen nur dann in den Kreis der </w:t>
      </w:r>
      <w:r w:rsidRPr="00A54300">
        <w:rPr>
          <w:rFonts w:eastAsia="Times New Roman" w:cs="Times New Roman"/>
          <w:lang w:eastAsia="de-DE"/>
        </w:rPr>
        <w:t>Lei</w:t>
      </w:r>
      <w:r w:rsidRPr="00A54300">
        <w:rPr>
          <w:rFonts w:eastAsia="Times New Roman" w:cs="Times New Roman"/>
          <w:lang w:eastAsia="de-DE"/>
        </w:rPr>
        <w:t>s</w:t>
      </w:r>
      <w:r w:rsidRPr="00A54300">
        <w:rPr>
          <w:rFonts w:eastAsia="Times New Roman" w:cs="Times New Roman"/>
          <w:lang w:eastAsia="de-DE"/>
        </w:rPr>
        <w:t xml:space="preserve">tungen, die mit dem DIA-Zukunftspreis geehrt werden können, </w:t>
      </w:r>
      <w:r w:rsidR="00C237C3" w:rsidRPr="00A54300">
        <w:rPr>
          <w:rFonts w:eastAsia="Times New Roman" w:cs="Times New Roman"/>
          <w:lang w:eastAsia="de-DE"/>
        </w:rPr>
        <w:t>wenn</w:t>
      </w:r>
      <w:r w:rsidRPr="00A54300">
        <w:rPr>
          <w:rFonts w:eastAsia="Times New Roman" w:cs="Times New Roman"/>
          <w:lang w:eastAsia="de-DE"/>
        </w:rPr>
        <w:t xml:space="preserve"> es sich um eine grundlegende neue Vorsorgelösung oder Vorsorgestrategie handelt, die zu Problemlösungen der Altersvorsorg</w:t>
      </w:r>
      <w:r w:rsidRPr="00A54300">
        <w:rPr>
          <w:rFonts w:eastAsia="Times New Roman" w:cs="Times New Roman"/>
          <w:lang w:eastAsia="de-DE"/>
        </w:rPr>
        <w:t>e</w:t>
      </w:r>
      <w:r w:rsidRPr="00A54300">
        <w:rPr>
          <w:rFonts w:eastAsia="Times New Roman" w:cs="Times New Roman"/>
          <w:lang w:eastAsia="de-DE"/>
        </w:rPr>
        <w:t>sparer beiträgt</w:t>
      </w:r>
      <w:r w:rsidR="00A97C63" w:rsidRPr="00A54300">
        <w:rPr>
          <w:rFonts w:eastAsia="Times New Roman" w:cs="Times New Roman"/>
          <w:lang w:eastAsia="de-DE"/>
        </w:rPr>
        <w:t xml:space="preserve"> und sich durch eine entsprechende theoretische Fundierung auszeichnet</w:t>
      </w:r>
      <w:r w:rsidRPr="00A54300">
        <w:rPr>
          <w:rFonts w:eastAsia="Times New Roman" w:cs="Times New Roman"/>
          <w:lang w:eastAsia="de-DE"/>
        </w:rPr>
        <w:t>.</w:t>
      </w:r>
      <w:r w:rsidR="0075739F" w:rsidRPr="00A54300">
        <w:rPr>
          <w:rFonts w:eastAsia="Times New Roman" w:cs="Times New Roman"/>
          <w:lang w:eastAsia="de-DE"/>
        </w:rPr>
        <w:t xml:space="preserve"> Sofern es sich nicht um monografische Arbeiten, sondern um eine Zusammenfassung mehrere</w:t>
      </w:r>
      <w:r w:rsidR="00E646CE" w:rsidRPr="00A54300">
        <w:rPr>
          <w:rFonts w:eastAsia="Times New Roman" w:cs="Times New Roman"/>
          <w:lang w:eastAsia="de-DE"/>
        </w:rPr>
        <w:t>r</w:t>
      </w:r>
      <w:r w:rsidR="0075739F" w:rsidRPr="00A54300">
        <w:rPr>
          <w:rFonts w:eastAsia="Times New Roman" w:cs="Times New Roman"/>
          <w:lang w:eastAsia="de-DE"/>
        </w:rPr>
        <w:t xml:space="preserve"> Veröffentl</w:t>
      </w:r>
      <w:r w:rsidR="0075739F" w:rsidRPr="00A54300">
        <w:rPr>
          <w:rFonts w:eastAsia="Times New Roman" w:cs="Times New Roman"/>
          <w:lang w:eastAsia="de-DE"/>
        </w:rPr>
        <w:t>i</w:t>
      </w:r>
      <w:r w:rsidR="0075739F" w:rsidRPr="00A54300">
        <w:rPr>
          <w:rFonts w:eastAsia="Times New Roman" w:cs="Times New Roman"/>
          <w:lang w:eastAsia="de-DE"/>
        </w:rPr>
        <w:t>chungen mit unterschiedlichem Autorenkreis handelt, muss der von der Jury zu beurteilende Anteil des Einreichers klar gekennzeichnet werden.</w:t>
      </w:r>
    </w:p>
    <w:p w:rsidR="00A97C63" w:rsidRPr="00A54300" w:rsidRDefault="00A97C63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123D15" w:rsidRPr="00A54300" w:rsidRDefault="00123D15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A97C63" w:rsidRPr="00A54300" w:rsidRDefault="00A97C63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b/>
          <w:lang w:eastAsia="de-DE"/>
        </w:rPr>
        <w:t>Einreichung:</w:t>
      </w:r>
      <w:r w:rsidRPr="00A54300">
        <w:rPr>
          <w:rFonts w:eastAsia="Times New Roman" w:cs="Times New Roman"/>
          <w:lang w:eastAsia="de-DE"/>
        </w:rPr>
        <w:t xml:space="preserve"> Die Arbeiten </w:t>
      </w:r>
      <w:r w:rsidR="00123D15" w:rsidRPr="00A54300">
        <w:rPr>
          <w:rFonts w:eastAsia="Times New Roman" w:cs="Times New Roman"/>
          <w:lang w:eastAsia="de-DE"/>
        </w:rPr>
        <w:t>werden</w:t>
      </w:r>
      <w:r w:rsidRPr="00A54300">
        <w:rPr>
          <w:rFonts w:eastAsia="Times New Roman" w:cs="Times New Roman"/>
          <w:lang w:eastAsia="de-DE"/>
        </w:rPr>
        <w:t xml:space="preserve"> als </w:t>
      </w:r>
      <w:r w:rsidR="00242FA3" w:rsidRPr="00A54300">
        <w:rPr>
          <w:rFonts w:eastAsia="Times New Roman" w:cs="Times New Roman"/>
          <w:lang w:eastAsia="de-DE"/>
        </w:rPr>
        <w:t xml:space="preserve">gedrucktes Exemplar oder </w:t>
      </w:r>
      <w:r w:rsidRPr="00A54300">
        <w:rPr>
          <w:rFonts w:eastAsia="Times New Roman" w:cs="Times New Roman"/>
          <w:lang w:eastAsia="de-DE"/>
        </w:rPr>
        <w:t>un</w:t>
      </w:r>
      <w:r w:rsidR="00123D15" w:rsidRPr="00A54300">
        <w:rPr>
          <w:rFonts w:eastAsia="Times New Roman" w:cs="Times New Roman"/>
          <w:lang w:eastAsia="de-DE"/>
        </w:rPr>
        <w:t>geschütztes</w:t>
      </w:r>
      <w:r w:rsidRPr="00A54300">
        <w:rPr>
          <w:rFonts w:eastAsia="Times New Roman" w:cs="Times New Roman"/>
          <w:lang w:eastAsia="de-DE"/>
        </w:rPr>
        <w:t xml:space="preserve"> PDF eingereicht. Der Zeitraum für die Einreichung beginnt am </w:t>
      </w:r>
      <w:r w:rsidR="0085219E">
        <w:rPr>
          <w:rFonts w:eastAsia="Times New Roman" w:cs="Times New Roman"/>
          <w:lang w:eastAsia="de-DE"/>
        </w:rPr>
        <w:t>01</w:t>
      </w:r>
      <w:r w:rsidR="00C237C3" w:rsidRPr="00A54300">
        <w:rPr>
          <w:rFonts w:eastAsia="Times New Roman" w:cs="Times New Roman"/>
          <w:lang w:eastAsia="de-DE"/>
        </w:rPr>
        <w:t>.</w:t>
      </w:r>
      <w:r w:rsidRPr="00A54300">
        <w:rPr>
          <w:rFonts w:eastAsia="Times New Roman" w:cs="Times New Roman"/>
          <w:lang w:eastAsia="de-DE"/>
        </w:rPr>
        <w:t xml:space="preserve"> </w:t>
      </w:r>
      <w:r w:rsidR="0085219E">
        <w:rPr>
          <w:rFonts w:eastAsia="Times New Roman" w:cs="Times New Roman"/>
          <w:lang w:eastAsia="de-DE"/>
        </w:rPr>
        <w:t>März</w:t>
      </w:r>
      <w:r w:rsidRPr="00A54300">
        <w:rPr>
          <w:rFonts w:eastAsia="Times New Roman" w:cs="Times New Roman"/>
          <w:lang w:eastAsia="de-DE"/>
        </w:rPr>
        <w:t xml:space="preserve"> 201</w:t>
      </w:r>
      <w:r w:rsidR="0085219E">
        <w:rPr>
          <w:rFonts w:eastAsia="Times New Roman" w:cs="Times New Roman"/>
          <w:lang w:eastAsia="de-DE"/>
        </w:rPr>
        <w:t>8</w:t>
      </w:r>
      <w:r w:rsidRPr="00A54300">
        <w:rPr>
          <w:rFonts w:eastAsia="Times New Roman" w:cs="Times New Roman"/>
          <w:lang w:eastAsia="de-DE"/>
        </w:rPr>
        <w:t xml:space="preserve"> und reicht bis zum </w:t>
      </w:r>
      <w:r w:rsidR="00D65363" w:rsidRPr="00A54300">
        <w:rPr>
          <w:rFonts w:eastAsia="Times New Roman" w:cs="Times New Roman"/>
          <w:lang w:eastAsia="de-DE"/>
        </w:rPr>
        <w:t>3</w:t>
      </w:r>
      <w:r w:rsidR="00A54300">
        <w:rPr>
          <w:rFonts w:eastAsia="Times New Roman" w:cs="Times New Roman"/>
          <w:lang w:eastAsia="de-DE"/>
        </w:rPr>
        <w:t>0</w:t>
      </w:r>
      <w:r w:rsidRPr="00A54300">
        <w:rPr>
          <w:rFonts w:eastAsia="Times New Roman" w:cs="Times New Roman"/>
          <w:lang w:eastAsia="de-DE"/>
        </w:rPr>
        <w:t xml:space="preserve">. </w:t>
      </w:r>
      <w:r w:rsidR="0085219E">
        <w:rPr>
          <w:rFonts w:eastAsia="Times New Roman" w:cs="Times New Roman"/>
          <w:lang w:eastAsia="de-DE"/>
        </w:rPr>
        <w:t>September</w:t>
      </w:r>
      <w:r w:rsidRPr="00A54300">
        <w:rPr>
          <w:rFonts w:eastAsia="Times New Roman" w:cs="Times New Roman"/>
          <w:lang w:eastAsia="de-DE"/>
        </w:rPr>
        <w:t xml:space="preserve"> 201</w:t>
      </w:r>
      <w:r w:rsidR="0085219E">
        <w:rPr>
          <w:rFonts w:eastAsia="Times New Roman" w:cs="Times New Roman"/>
          <w:lang w:eastAsia="de-DE"/>
        </w:rPr>
        <w:t>8</w:t>
      </w:r>
      <w:r w:rsidRPr="00A54300">
        <w:rPr>
          <w:rFonts w:eastAsia="Times New Roman" w:cs="Times New Roman"/>
          <w:lang w:eastAsia="de-DE"/>
        </w:rPr>
        <w:t>. Das DIA behält sich die Möglichkeit vor, den Zeitraum gegebenenfalls zu verlängern.</w:t>
      </w:r>
      <w:r w:rsidR="002D48E4" w:rsidRPr="00A54300">
        <w:rPr>
          <w:rFonts w:eastAsia="Times New Roman" w:cs="Times New Roman"/>
          <w:lang w:eastAsia="de-DE"/>
        </w:rPr>
        <w:t xml:space="preserve"> Vorschläge kö</w:t>
      </w:r>
      <w:r w:rsidR="002D48E4" w:rsidRPr="00A54300">
        <w:rPr>
          <w:rFonts w:eastAsia="Times New Roman" w:cs="Times New Roman"/>
          <w:lang w:eastAsia="de-DE"/>
        </w:rPr>
        <w:t>n</w:t>
      </w:r>
      <w:r w:rsidR="002D48E4" w:rsidRPr="00A54300">
        <w:rPr>
          <w:rFonts w:eastAsia="Times New Roman" w:cs="Times New Roman"/>
          <w:lang w:eastAsia="de-DE"/>
        </w:rPr>
        <w:t>nen von den Urhebern der Forschungsleistung selbst oder von Dritten eingebracht werden. Erfolgt eine N</w:t>
      </w:r>
      <w:r w:rsidR="002D48E4" w:rsidRPr="00A54300">
        <w:rPr>
          <w:rFonts w:eastAsia="Times New Roman" w:cs="Times New Roman"/>
          <w:lang w:eastAsia="de-DE"/>
        </w:rPr>
        <w:t>o</w:t>
      </w:r>
      <w:r w:rsidR="002D48E4" w:rsidRPr="00A54300">
        <w:rPr>
          <w:rFonts w:eastAsia="Times New Roman" w:cs="Times New Roman"/>
          <w:lang w:eastAsia="de-DE"/>
        </w:rPr>
        <w:t>minierung durch einen Dritten, s</w:t>
      </w:r>
      <w:r w:rsidR="00123D15" w:rsidRPr="00A54300">
        <w:rPr>
          <w:rFonts w:eastAsia="Times New Roman" w:cs="Times New Roman"/>
          <w:lang w:eastAsia="de-DE"/>
        </w:rPr>
        <w:t>etzt das DIA die vorgeschlagene Person</w:t>
      </w:r>
      <w:r w:rsidR="002D48E4" w:rsidRPr="00A54300">
        <w:rPr>
          <w:rFonts w:eastAsia="Times New Roman" w:cs="Times New Roman"/>
          <w:lang w:eastAsia="de-DE"/>
        </w:rPr>
        <w:t xml:space="preserve"> von der Nomi</w:t>
      </w:r>
      <w:r w:rsidR="00123D15" w:rsidRPr="00A54300">
        <w:rPr>
          <w:rFonts w:eastAsia="Times New Roman" w:cs="Times New Roman"/>
          <w:lang w:eastAsia="de-DE"/>
        </w:rPr>
        <w:softHyphen/>
      </w:r>
      <w:r w:rsidR="002D48E4" w:rsidRPr="00A54300">
        <w:rPr>
          <w:rFonts w:eastAsia="Times New Roman" w:cs="Times New Roman"/>
          <w:lang w:eastAsia="de-DE"/>
        </w:rPr>
        <w:t>nierung in Kenntnis und bittet sie um die Einreichung der erforderlichen Unterlagen.</w:t>
      </w:r>
    </w:p>
    <w:p w:rsidR="00A97C63" w:rsidRPr="00A54300" w:rsidRDefault="00A97C63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123D15" w:rsidRPr="00A54300" w:rsidRDefault="00123D15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A97C63" w:rsidRPr="00A54300" w:rsidRDefault="00A97C63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b/>
          <w:lang w:eastAsia="de-DE"/>
        </w:rPr>
        <w:t>Jury:</w:t>
      </w:r>
      <w:r w:rsidRPr="00A54300">
        <w:rPr>
          <w:rFonts w:eastAsia="Times New Roman" w:cs="Times New Roman"/>
          <w:lang w:eastAsia="de-DE"/>
        </w:rPr>
        <w:t xml:space="preserve"> Über die Auswahl entscheidet eine dreiköpfige Jury, die aus unabhängigen Experten besteht. </w:t>
      </w:r>
      <w:r w:rsidR="00123D15" w:rsidRPr="00A54300">
        <w:rPr>
          <w:rFonts w:eastAsia="Times New Roman" w:cs="Times New Roman"/>
          <w:lang w:eastAsia="de-DE"/>
        </w:rPr>
        <w:t>DIA-</w:t>
      </w:r>
      <w:r w:rsidRPr="00A54300">
        <w:rPr>
          <w:rFonts w:eastAsia="Times New Roman" w:cs="Times New Roman"/>
          <w:lang w:eastAsia="de-DE"/>
        </w:rPr>
        <w:t xml:space="preserve">Mitarbeiter sind </w:t>
      </w:r>
      <w:r w:rsidR="00C237C3" w:rsidRPr="00A54300">
        <w:rPr>
          <w:rFonts w:eastAsia="Times New Roman" w:cs="Times New Roman"/>
          <w:lang w:eastAsia="de-DE"/>
        </w:rPr>
        <w:t>darin nicht</w:t>
      </w:r>
      <w:r w:rsidRPr="00A54300">
        <w:rPr>
          <w:rFonts w:eastAsia="Times New Roman" w:cs="Times New Roman"/>
          <w:lang w:eastAsia="de-DE"/>
        </w:rPr>
        <w:t xml:space="preserve"> vertreten.</w:t>
      </w:r>
      <w:r w:rsidR="002D48E4" w:rsidRPr="00A54300">
        <w:rPr>
          <w:rFonts w:eastAsia="Times New Roman" w:cs="Times New Roman"/>
          <w:lang w:eastAsia="de-DE"/>
        </w:rPr>
        <w:t xml:space="preserve"> Die Jury einigt sich auf Kriterien zur Beurteilung der eing</w:t>
      </w:r>
      <w:r w:rsidR="002D48E4" w:rsidRPr="00A54300">
        <w:rPr>
          <w:rFonts w:eastAsia="Times New Roman" w:cs="Times New Roman"/>
          <w:lang w:eastAsia="de-DE"/>
        </w:rPr>
        <w:t>e</w:t>
      </w:r>
      <w:r w:rsidR="002D48E4" w:rsidRPr="00A54300">
        <w:rPr>
          <w:rFonts w:eastAsia="Times New Roman" w:cs="Times New Roman"/>
          <w:lang w:eastAsia="de-DE"/>
        </w:rPr>
        <w:t>reichten Arbeiten. Eine Anfechtung des Jury-Ergebnisse</w:t>
      </w:r>
      <w:r w:rsidR="00123D15" w:rsidRPr="00A54300">
        <w:rPr>
          <w:rFonts w:eastAsia="Times New Roman" w:cs="Times New Roman"/>
          <w:lang w:eastAsia="de-DE"/>
        </w:rPr>
        <w:t>s</w:t>
      </w:r>
      <w:r w:rsidR="002D48E4" w:rsidRPr="00A54300">
        <w:rPr>
          <w:rFonts w:eastAsia="Times New Roman" w:cs="Times New Roman"/>
          <w:lang w:eastAsia="de-DE"/>
        </w:rPr>
        <w:t xml:space="preserve"> ist nicht möglich.</w:t>
      </w:r>
      <w:bookmarkStart w:id="0" w:name="_GoBack"/>
      <w:bookmarkEnd w:id="0"/>
    </w:p>
    <w:p w:rsidR="002D48E4" w:rsidRPr="00A54300" w:rsidRDefault="002D48E4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8237F5" w:rsidRPr="00A54300" w:rsidRDefault="008237F5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2D48E4" w:rsidRPr="00A54300" w:rsidRDefault="002D48E4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b/>
          <w:lang w:eastAsia="de-DE"/>
        </w:rPr>
        <w:t>Dotierung:</w:t>
      </w:r>
      <w:r w:rsidRPr="00A54300">
        <w:rPr>
          <w:rFonts w:eastAsia="Times New Roman" w:cs="Times New Roman"/>
          <w:lang w:eastAsia="de-DE"/>
        </w:rPr>
        <w:t xml:space="preserve"> Der Zukunftspreis ist mit insgesamt </w:t>
      </w:r>
      <w:r w:rsidRPr="00A54300">
        <w:rPr>
          <w:rFonts w:eastAsia="Times New Roman" w:cs="Times New Roman"/>
          <w:b/>
          <w:lang w:eastAsia="de-DE"/>
        </w:rPr>
        <w:t>5.000 Euro</w:t>
      </w:r>
      <w:r w:rsidRPr="00A54300">
        <w:rPr>
          <w:rFonts w:eastAsia="Times New Roman" w:cs="Times New Roman"/>
          <w:lang w:eastAsia="de-DE"/>
        </w:rPr>
        <w:t xml:space="preserve"> dotiert. Es steht im Ermessen der Jury, das Preisg</w:t>
      </w:r>
      <w:r w:rsidR="00123D15" w:rsidRPr="00A54300">
        <w:rPr>
          <w:rFonts w:eastAsia="Times New Roman" w:cs="Times New Roman"/>
          <w:lang w:eastAsia="de-DE"/>
        </w:rPr>
        <w:t>eld auf mehrere Preisträger auf</w:t>
      </w:r>
      <w:r w:rsidRPr="00A54300">
        <w:rPr>
          <w:rFonts w:eastAsia="Times New Roman" w:cs="Times New Roman"/>
          <w:lang w:eastAsia="de-DE"/>
        </w:rPr>
        <w:t>zuteilen.</w:t>
      </w:r>
    </w:p>
    <w:p w:rsidR="002D48E4" w:rsidRPr="00A54300" w:rsidRDefault="002D48E4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8237F5" w:rsidRPr="00A54300" w:rsidRDefault="008237F5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B47806" w:rsidRPr="00A54300" w:rsidRDefault="002D48E4" w:rsidP="00850E2B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b/>
          <w:lang w:eastAsia="de-DE"/>
        </w:rPr>
        <w:t>Bewerbung:</w:t>
      </w:r>
      <w:r w:rsidRPr="00A54300">
        <w:rPr>
          <w:rFonts w:eastAsia="Times New Roman" w:cs="Times New Roman"/>
          <w:lang w:eastAsia="de-DE"/>
        </w:rPr>
        <w:t xml:space="preserve"> Die Unterlagen für den DIA-Zukunftspreis sind per E-Mail unter der Betreffzeile „DIA-Zukunftspreis 201</w:t>
      </w:r>
      <w:r w:rsidR="00971027">
        <w:rPr>
          <w:rFonts w:eastAsia="Times New Roman" w:cs="Times New Roman"/>
          <w:lang w:eastAsia="de-DE"/>
        </w:rPr>
        <w:t>7</w:t>
      </w:r>
      <w:r w:rsidRPr="00A54300">
        <w:rPr>
          <w:rFonts w:eastAsia="Times New Roman" w:cs="Times New Roman"/>
          <w:lang w:eastAsia="de-DE"/>
        </w:rPr>
        <w:t xml:space="preserve">“ </w:t>
      </w:r>
      <w:r w:rsidR="00B47806" w:rsidRPr="00A54300">
        <w:rPr>
          <w:rFonts w:eastAsia="Times New Roman" w:cs="Times New Roman"/>
          <w:lang w:eastAsia="de-DE"/>
        </w:rPr>
        <w:t>an folgende</w:t>
      </w:r>
      <w:r w:rsidRPr="00A54300">
        <w:rPr>
          <w:rFonts w:eastAsia="Times New Roman" w:cs="Times New Roman"/>
          <w:lang w:eastAsia="de-DE"/>
        </w:rPr>
        <w:t xml:space="preserve"> </w:t>
      </w:r>
      <w:r w:rsidR="00971027">
        <w:rPr>
          <w:rFonts w:eastAsia="Times New Roman" w:cs="Times New Roman"/>
          <w:lang w:eastAsia="de-DE"/>
        </w:rPr>
        <w:t>E-Mail-Adresse zu senden:</w:t>
      </w:r>
    </w:p>
    <w:p w:rsidR="00B47806" w:rsidRPr="00A54300" w:rsidRDefault="00B47806" w:rsidP="00B47806">
      <w:pPr>
        <w:spacing w:after="0" w:line="240" w:lineRule="auto"/>
        <w:ind w:left="2124" w:firstLine="708"/>
        <w:jc w:val="both"/>
        <w:rPr>
          <w:rFonts w:eastAsia="Times New Roman" w:cs="Times New Roman"/>
          <w:lang w:eastAsia="de-DE"/>
        </w:rPr>
      </w:pPr>
    </w:p>
    <w:p w:rsidR="00B47806" w:rsidRPr="00A54300" w:rsidRDefault="0085219E" w:rsidP="00B47806">
      <w:pPr>
        <w:spacing w:after="0" w:line="240" w:lineRule="auto"/>
        <w:ind w:left="2124" w:firstLine="708"/>
        <w:jc w:val="both"/>
        <w:rPr>
          <w:rFonts w:eastAsia="Times New Roman" w:cs="Times New Roman"/>
          <w:lang w:eastAsia="de-DE"/>
        </w:rPr>
      </w:pPr>
      <w:hyperlink r:id="rId6" w:history="1">
        <w:r w:rsidR="00B47806" w:rsidRPr="00A54300">
          <w:rPr>
            <w:rStyle w:val="Hyperlink"/>
            <w:rFonts w:eastAsia="Times New Roman" w:cs="Times New Roman"/>
            <w:lang w:eastAsia="de-DE"/>
          </w:rPr>
          <w:t>morgenstern@dia-vorsorge.de</w:t>
        </w:r>
      </w:hyperlink>
    </w:p>
    <w:p w:rsidR="00B47806" w:rsidRPr="00A54300" w:rsidRDefault="00B47806" w:rsidP="00B47806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C237C3" w:rsidRPr="00A54300" w:rsidRDefault="00C237C3" w:rsidP="00B47806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lang w:eastAsia="de-DE"/>
        </w:rPr>
        <w:t xml:space="preserve">Das DIA bestätigt den Eingang der Bewerbung und informiert </w:t>
      </w:r>
      <w:r w:rsidR="0075739F" w:rsidRPr="00A54300">
        <w:rPr>
          <w:rFonts w:eastAsia="Times New Roman" w:cs="Times New Roman"/>
          <w:lang w:eastAsia="de-DE"/>
        </w:rPr>
        <w:t>öffentlich über die Vergabe des Preises</w:t>
      </w:r>
      <w:r w:rsidRPr="00A54300">
        <w:rPr>
          <w:rFonts w:eastAsia="Times New Roman" w:cs="Times New Roman"/>
          <w:lang w:eastAsia="de-DE"/>
        </w:rPr>
        <w:t>.</w:t>
      </w:r>
    </w:p>
    <w:p w:rsidR="008237F5" w:rsidRPr="00A54300" w:rsidRDefault="008237F5" w:rsidP="00B47806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B47806" w:rsidRPr="00A54300" w:rsidRDefault="00B47806" w:rsidP="00B47806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A54300">
        <w:rPr>
          <w:rFonts w:eastAsia="Times New Roman" w:cs="Times New Roman"/>
          <w:lang w:eastAsia="de-DE"/>
        </w:rPr>
        <w:t>Telefonische Rückfragen sind an Klaus Morgenstern, Sprecher des Deutschen Instituts für Altersvo</w:t>
      </w:r>
      <w:r w:rsidRPr="00A54300">
        <w:rPr>
          <w:rFonts w:eastAsia="Times New Roman" w:cs="Times New Roman"/>
          <w:lang w:eastAsia="de-DE"/>
        </w:rPr>
        <w:t>r</w:t>
      </w:r>
      <w:r w:rsidRPr="00A54300">
        <w:rPr>
          <w:rFonts w:eastAsia="Times New Roman" w:cs="Times New Roman"/>
          <w:lang w:eastAsia="de-DE"/>
        </w:rPr>
        <w:t>sorge, Tel.: 030 – 201 88 583 zu richten.</w:t>
      </w:r>
    </w:p>
    <w:sectPr w:rsidR="00B47806" w:rsidRPr="00A54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35"/>
    <w:rsid w:val="00123D15"/>
    <w:rsid w:val="00132543"/>
    <w:rsid w:val="00242FA3"/>
    <w:rsid w:val="002D48E4"/>
    <w:rsid w:val="004F64BE"/>
    <w:rsid w:val="00745D35"/>
    <w:rsid w:val="0075739F"/>
    <w:rsid w:val="007F338C"/>
    <w:rsid w:val="008237F5"/>
    <w:rsid w:val="00850E2B"/>
    <w:rsid w:val="0085219E"/>
    <w:rsid w:val="008B32BC"/>
    <w:rsid w:val="00971027"/>
    <w:rsid w:val="00A54300"/>
    <w:rsid w:val="00A77DB4"/>
    <w:rsid w:val="00A97C63"/>
    <w:rsid w:val="00B02FA0"/>
    <w:rsid w:val="00B140C0"/>
    <w:rsid w:val="00B47806"/>
    <w:rsid w:val="00BA476B"/>
    <w:rsid w:val="00C237C3"/>
    <w:rsid w:val="00D004EC"/>
    <w:rsid w:val="00D65363"/>
    <w:rsid w:val="00E32E0E"/>
    <w:rsid w:val="00E646CE"/>
    <w:rsid w:val="00F73FA6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45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45D3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74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5D3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45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45D3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74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5D3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rgenstern@dia-vorsorg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Morgenstern</dc:creator>
  <cp:lastModifiedBy>Klaus Morgenstern</cp:lastModifiedBy>
  <cp:revision>17</cp:revision>
  <cp:lastPrinted>2015-02-16T11:49:00Z</cp:lastPrinted>
  <dcterms:created xsi:type="dcterms:W3CDTF">2012-11-20T09:18:00Z</dcterms:created>
  <dcterms:modified xsi:type="dcterms:W3CDTF">2018-02-13T11:22:00Z</dcterms:modified>
</cp:coreProperties>
</file>